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4956"/>
        <w:contextualSpacing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Приложение 1</w:t>
      </w:r>
    </w:p>
    <w:p>
      <w:pPr>
        <w:shd w:val="clear" w:color="auto" w:fill="FFFFFF"/>
        <w:spacing w:after="0" w:line="240" w:lineRule="auto"/>
        <w:ind w:left="4956"/>
        <w:contextualSpacing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письму от 15.06.2023 № 2.6-18/_______</w:t>
      </w:r>
    </w:p>
    <w:p>
      <w:pPr>
        <w:spacing w:before="120"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График семинаров Межрайонной ИФНС России № 22 по Красноярскому краю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br/>
        <w:t>на третий квартале 2023 года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(Место проведения: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 Красноярск, ул. 60 лет Октября, 83 «а», актовый зал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440"/>
        <w:gridCol w:w="8640"/>
      </w:tblGrid>
      <w:tr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семинара</w:t>
            </w:r>
          </w:p>
        </w:tc>
      </w:tr>
      <w:tr>
        <w:trPr>
          <w:trHeight w:val="12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05.07.2023 в 10.00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Внедрение института единого налогового счета. Порядок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заполнения уведомления об исчисленных суммах налогов, авансовых платежей по налогам, сборов, страховых взносов. Расчёт и уплата налога на доходы физических лиц  за 2022 год</w:t>
            </w:r>
          </w:p>
        </w:tc>
      </w:tr>
      <w:tr>
        <w:trPr>
          <w:trHeight w:val="97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12.07.2023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Внедрение института единого налогового счета. Порядок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  <w:tr>
        <w:trPr>
          <w:trHeight w:val="85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19.07.2023 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института единого налогового счета. Порядок предоставления 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  <w:tr>
        <w:trPr>
          <w:trHeight w:val="64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26.07.2023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института единого налогового счета. Порядок предоставления 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  <w:tr>
        <w:trPr>
          <w:trHeight w:val="73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02.08.2023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института единого налогового счета. Порядок предоставления 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  <w:tr>
        <w:trPr>
          <w:trHeight w:val="11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09.08.2023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института единого налогового счета. Порядок предоставления и заполнения уведомления об исчисленных суммах налогов, авансовых платежей по налогам, сборов, страховых взносов. Порядок исчисления и уплаты имущественных налогов физическими лицами</w:t>
            </w:r>
          </w:p>
        </w:tc>
      </w:tr>
      <w:tr>
        <w:trPr>
          <w:trHeight w:val="8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16.08.2023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института единого налогового счета. Порядок предоставления 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  <w:tr>
        <w:trPr>
          <w:trHeight w:val="83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23.08.2023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института единого налогового счета. Порядок предоставления 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  <w:tr>
        <w:trPr>
          <w:trHeight w:val="7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30.08.2023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Внедрение института единого налогового счета. Порядок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  <w:tr>
        <w:trPr>
          <w:trHeight w:val="10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06.09.2023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института единого налогового счета. Порядок предоставления и заполнения уведомления об исчисленных суммах налогов, авансовых платежей по налогам, сборов, страховых взносов. Порядок исчисления и уплаты имущественных налогов физическими лицами</w:t>
            </w:r>
          </w:p>
        </w:tc>
      </w:tr>
      <w:tr>
        <w:trPr>
          <w:trHeight w:val="107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13.09.2023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Внедрение института единого налогового счета. Порядок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заполнения уведомления об исчисленных суммах налогов, авансовых платежей по налогам, сборов, страховых взносов. Порядок исчисления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уплаты имущественных налогов физическими лицами</w:t>
            </w:r>
          </w:p>
        </w:tc>
      </w:tr>
      <w:tr>
        <w:trPr>
          <w:trHeight w:val="12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20.09.2023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Досудебное урегулирование налоговых споров. Внедрение института единого налогового счета. Порядок предоставления и заполнения уведомления об исчисленных суммах налогов, авансовых платежей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налогам, сборов, страховых взносов</w:t>
            </w:r>
          </w:p>
        </w:tc>
      </w:tr>
      <w:tr>
        <w:trPr>
          <w:trHeight w:val="8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27.09.2023 в 10.00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Внедрение института единого налогового счета. Порядок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заполнения уведомления об исчисленных суммах налогов, авансовых платежей по налогам, сборов, страховых взносов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sectPr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Оксана Николаевна</dc:creator>
  <cp:lastModifiedBy>Огнева Оксана Николаевна</cp:lastModifiedBy>
  <cp:revision>2</cp:revision>
  <dcterms:created xsi:type="dcterms:W3CDTF">2023-06-15T03:24:00Z</dcterms:created>
  <dcterms:modified xsi:type="dcterms:W3CDTF">2023-06-15T03:24:00Z</dcterms:modified>
</cp:coreProperties>
</file>